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04C3" w14:textId="77777777" w:rsidR="00BE5242" w:rsidRPr="00EF57AB" w:rsidRDefault="00BE5242" w:rsidP="00BE52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F57AB">
        <w:rPr>
          <w:rFonts w:ascii="Arial" w:hAnsi="Arial" w:cs="Arial"/>
          <w:b/>
          <w:bCs/>
          <w:sz w:val="28"/>
          <w:szCs w:val="28"/>
          <w:u w:val="single"/>
        </w:rPr>
        <w:t xml:space="preserve">2018 ESC-US National Conference </w:t>
      </w:r>
    </w:p>
    <w:p w14:paraId="1E50ED3E" w14:textId="27170299" w:rsidR="00AA3B02" w:rsidRPr="00EF57AB" w:rsidRDefault="00F50609" w:rsidP="00EF57AB">
      <w:pPr>
        <w:jc w:val="center"/>
        <w:rPr>
          <w:rFonts w:ascii="Arial" w:hAnsi="Arial" w:cs="Arial"/>
          <w:b/>
          <w:sz w:val="28"/>
          <w:szCs w:val="28"/>
        </w:rPr>
      </w:pPr>
      <w:r w:rsidRPr="002C022A">
        <w:rPr>
          <w:rFonts w:ascii="Arial" w:hAnsi="Arial" w:cs="Arial"/>
          <w:b/>
          <w:sz w:val="28"/>
          <w:szCs w:val="28"/>
        </w:rPr>
        <w:t>ESC of the Triangle Points of Pride</w:t>
      </w:r>
    </w:p>
    <w:p w14:paraId="5308A404" w14:textId="77777777" w:rsidR="007E1632" w:rsidRPr="002C022A" w:rsidRDefault="007E1632" w:rsidP="00AA3B02">
      <w:pPr>
        <w:rPr>
          <w:rFonts w:ascii="Arial" w:hAnsi="Arial" w:cs="Arial"/>
          <w:sz w:val="22"/>
          <w:szCs w:val="22"/>
        </w:rPr>
      </w:pPr>
    </w:p>
    <w:p w14:paraId="0D89020D" w14:textId="55A5F7C5" w:rsidR="00AA3B02" w:rsidRPr="002C022A" w:rsidRDefault="00F50609" w:rsidP="00AA3B02">
      <w:pPr>
        <w:rPr>
          <w:rFonts w:ascii="Arial" w:hAnsi="Arial" w:cs="Arial"/>
          <w:sz w:val="22"/>
          <w:szCs w:val="22"/>
          <w:u w:val="single"/>
        </w:rPr>
      </w:pPr>
      <w:r w:rsidRPr="002C022A">
        <w:rPr>
          <w:rFonts w:ascii="Arial" w:hAnsi="Arial" w:cs="Arial"/>
          <w:sz w:val="22"/>
          <w:szCs w:val="22"/>
          <w:u w:val="single"/>
        </w:rPr>
        <w:t>Board Leadership Boot Camp</w:t>
      </w:r>
      <w:r w:rsidR="00821E43" w:rsidRPr="002C022A">
        <w:rPr>
          <w:rFonts w:ascii="Arial" w:hAnsi="Arial" w:cs="Arial"/>
          <w:sz w:val="22"/>
          <w:szCs w:val="22"/>
          <w:u w:val="single"/>
        </w:rPr>
        <w:t xml:space="preserve"> Continues to Grow in Popularity</w:t>
      </w:r>
    </w:p>
    <w:p w14:paraId="0E7B8AEF" w14:textId="25293036" w:rsidR="00202A4C" w:rsidRDefault="00AA3B02" w:rsidP="00202A4C">
      <w:pPr>
        <w:rPr>
          <w:rFonts w:ascii="Arial" w:hAnsi="Arial" w:cs="Arial"/>
          <w:sz w:val="22"/>
          <w:szCs w:val="22"/>
        </w:rPr>
      </w:pPr>
      <w:r w:rsidRPr="002C022A">
        <w:rPr>
          <w:rFonts w:ascii="Arial" w:hAnsi="Arial" w:cs="Arial"/>
          <w:sz w:val="22"/>
          <w:szCs w:val="22"/>
        </w:rPr>
        <w:t xml:space="preserve">Our </w:t>
      </w:r>
      <w:r w:rsidR="00ED4522" w:rsidRPr="002C022A">
        <w:rPr>
          <w:rFonts w:ascii="Arial" w:hAnsi="Arial" w:cs="Arial"/>
          <w:sz w:val="22"/>
          <w:szCs w:val="22"/>
        </w:rPr>
        <w:t xml:space="preserve">Board Leadership </w:t>
      </w:r>
      <w:r w:rsidRPr="002C022A">
        <w:rPr>
          <w:rFonts w:ascii="Arial" w:hAnsi="Arial" w:cs="Arial"/>
          <w:sz w:val="22"/>
          <w:szCs w:val="22"/>
        </w:rPr>
        <w:t>Boot Camp</w:t>
      </w:r>
      <w:r w:rsidR="00202A4C">
        <w:rPr>
          <w:rFonts w:ascii="Arial" w:hAnsi="Arial" w:cs="Arial"/>
          <w:sz w:val="22"/>
          <w:szCs w:val="22"/>
        </w:rPr>
        <w:t xml:space="preserve">, a </w:t>
      </w:r>
      <w:r w:rsidR="00202A4C" w:rsidRPr="002C022A">
        <w:rPr>
          <w:rFonts w:ascii="Arial" w:hAnsi="Arial" w:cs="Arial"/>
          <w:sz w:val="22"/>
          <w:szCs w:val="22"/>
        </w:rPr>
        <w:t xml:space="preserve">collaborative offering funded by the Blue Cross and Blue Shield </w:t>
      </w:r>
      <w:r w:rsidR="00EF57AB">
        <w:rPr>
          <w:rFonts w:ascii="Arial" w:hAnsi="Arial" w:cs="Arial"/>
          <w:sz w:val="22"/>
          <w:szCs w:val="22"/>
        </w:rPr>
        <w:t xml:space="preserve">of North Carolina </w:t>
      </w:r>
      <w:r w:rsidR="00202A4C">
        <w:rPr>
          <w:rFonts w:ascii="Arial" w:hAnsi="Arial" w:cs="Arial"/>
          <w:sz w:val="22"/>
          <w:szCs w:val="22"/>
        </w:rPr>
        <w:t xml:space="preserve">Foundation and </w:t>
      </w:r>
      <w:r w:rsidR="00202A4C" w:rsidRPr="002C022A">
        <w:rPr>
          <w:rFonts w:ascii="Arial" w:hAnsi="Arial" w:cs="Arial"/>
          <w:sz w:val="22"/>
          <w:szCs w:val="22"/>
        </w:rPr>
        <w:t>th</w:t>
      </w:r>
      <w:r w:rsidR="00202A4C">
        <w:rPr>
          <w:rFonts w:ascii="Arial" w:hAnsi="Arial" w:cs="Arial"/>
          <w:sz w:val="22"/>
          <w:szCs w:val="22"/>
        </w:rPr>
        <w:t>e Triangle Community Foundation</w:t>
      </w:r>
      <w:r w:rsidR="00F30039">
        <w:rPr>
          <w:rFonts w:ascii="Arial" w:hAnsi="Arial" w:cs="Arial"/>
          <w:sz w:val="22"/>
          <w:szCs w:val="22"/>
        </w:rPr>
        <w:t>,</w:t>
      </w:r>
      <w:r w:rsidR="00202A4C" w:rsidRPr="002C022A">
        <w:rPr>
          <w:rFonts w:ascii="Arial" w:hAnsi="Arial" w:cs="Arial"/>
          <w:sz w:val="22"/>
          <w:szCs w:val="22"/>
        </w:rPr>
        <w:t xml:space="preserve"> </w:t>
      </w:r>
      <w:r w:rsidR="00ED4522" w:rsidRPr="002C022A">
        <w:rPr>
          <w:rFonts w:ascii="Arial" w:hAnsi="Arial" w:cs="Arial"/>
          <w:sz w:val="22"/>
          <w:szCs w:val="22"/>
        </w:rPr>
        <w:t xml:space="preserve">was oversubscribed once again this year.  </w:t>
      </w:r>
      <w:r w:rsidR="00580C9A">
        <w:rPr>
          <w:rFonts w:ascii="Arial" w:hAnsi="Arial" w:cs="Arial"/>
          <w:sz w:val="22"/>
          <w:szCs w:val="22"/>
        </w:rPr>
        <w:t xml:space="preserve">Twice a year, </w:t>
      </w:r>
      <w:r w:rsidR="00202A4C">
        <w:rPr>
          <w:rFonts w:ascii="Arial" w:hAnsi="Arial" w:cs="Arial"/>
          <w:sz w:val="22"/>
          <w:szCs w:val="22"/>
        </w:rPr>
        <w:t>2</w:t>
      </w:r>
      <w:r w:rsidR="00580C9A">
        <w:rPr>
          <w:rFonts w:ascii="Arial" w:hAnsi="Arial" w:cs="Arial"/>
          <w:sz w:val="22"/>
          <w:szCs w:val="22"/>
        </w:rPr>
        <w:t xml:space="preserve">5 nonprofits </w:t>
      </w:r>
      <w:r w:rsidR="00202A4C">
        <w:rPr>
          <w:rFonts w:ascii="Arial" w:hAnsi="Arial" w:cs="Arial"/>
          <w:sz w:val="22"/>
          <w:szCs w:val="22"/>
        </w:rPr>
        <w:t xml:space="preserve">(up from 15 last year) </w:t>
      </w:r>
      <w:r w:rsidR="00580C9A">
        <w:rPr>
          <w:rFonts w:ascii="Arial" w:hAnsi="Arial" w:cs="Arial"/>
          <w:sz w:val="22"/>
          <w:szCs w:val="22"/>
        </w:rPr>
        <w:t>send</w:t>
      </w:r>
      <w:r w:rsidR="00ED4522" w:rsidRPr="002C022A">
        <w:rPr>
          <w:rFonts w:ascii="Arial" w:hAnsi="Arial" w:cs="Arial"/>
          <w:sz w:val="22"/>
          <w:szCs w:val="22"/>
        </w:rPr>
        <w:t xml:space="preserve"> two board me</w:t>
      </w:r>
      <w:r w:rsidR="007E1632" w:rsidRPr="002C022A">
        <w:rPr>
          <w:rFonts w:ascii="Arial" w:hAnsi="Arial" w:cs="Arial"/>
          <w:sz w:val="22"/>
          <w:szCs w:val="22"/>
        </w:rPr>
        <w:t xml:space="preserve">mbers to six </w:t>
      </w:r>
      <w:r w:rsidR="00EF57AB">
        <w:rPr>
          <w:rFonts w:ascii="Arial" w:hAnsi="Arial" w:cs="Arial"/>
          <w:sz w:val="22"/>
          <w:szCs w:val="22"/>
        </w:rPr>
        <w:t xml:space="preserve">two-hour </w:t>
      </w:r>
      <w:r w:rsidR="007E1632" w:rsidRPr="002C022A">
        <w:rPr>
          <w:rFonts w:ascii="Arial" w:hAnsi="Arial" w:cs="Arial"/>
          <w:sz w:val="22"/>
          <w:szCs w:val="22"/>
        </w:rPr>
        <w:t>sessions.</w:t>
      </w:r>
      <w:r w:rsidR="00ED4522" w:rsidRPr="002C022A">
        <w:rPr>
          <w:rFonts w:ascii="Arial" w:hAnsi="Arial" w:cs="Arial"/>
          <w:sz w:val="22"/>
          <w:szCs w:val="22"/>
        </w:rPr>
        <w:t xml:space="preserve"> </w:t>
      </w:r>
    </w:p>
    <w:p w14:paraId="36037C9D" w14:textId="348DAFE4" w:rsidR="00202A4C" w:rsidRPr="00202A4C" w:rsidRDefault="00202A4C" w:rsidP="00202A4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02A4C">
        <w:rPr>
          <w:rFonts w:ascii="Arial" w:hAnsi="Arial" w:cs="Arial"/>
          <w:sz w:val="22"/>
          <w:szCs w:val="22"/>
        </w:rPr>
        <w:t>Dimensions of Nonprofit Leadership</w:t>
      </w:r>
    </w:p>
    <w:p w14:paraId="3ED05725" w14:textId="4981FD54" w:rsidR="00202A4C" w:rsidRPr="002C022A" w:rsidRDefault="00202A4C" w:rsidP="00202A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Effective Board</w:t>
      </w:r>
    </w:p>
    <w:p w14:paraId="37377475" w14:textId="77777777" w:rsidR="00202A4C" w:rsidRPr="002C022A" w:rsidRDefault="00202A4C" w:rsidP="00202A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022A">
        <w:rPr>
          <w:rFonts w:ascii="Arial" w:hAnsi="Arial" w:cs="Arial"/>
          <w:sz w:val="22"/>
          <w:szCs w:val="22"/>
        </w:rPr>
        <w:t>Better Board Meetings</w:t>
      </w:r>
    </w:p>
    <w:p w14:paraId="579A0F22" w14:textId="77777777" w:rsidR="00202A4C" w:rsidRDefault="00202A4C" w:rsidP="00202A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Board’s Role in Agency Fundraising</w:t>
      </w:r>
    </w:p>
    <w:p w14:paraId="657B812C" w14:textId="4C436916" w:rsidR="00202A4C" w:rsidRPr="002C022A" w:rsidRDefault="00202A4C" w:rsidP="00202A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022A">
        <w:rPr>
          <w:rFonts w:ascii="Arial" w:hAnsi="Arial" w:cs="Arial"/>
          <w:sz w:val="22"/>
          <w:szCs w:val="22"/>
        </w:rPr>
        <w:t>Financial Leadership</w:t>
      </w:r>
    </w:p>
    <w:p w14:paraId="4E175890" w14:textId="77777777" w:rsidR="00202A4C" w:rsidRPr="002C022A" w:rsidRDefault="00202A4C" w:rsidP="00202A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022A">
        <w:rPr>
          <w:rFonts w:ascii="Arial" w:hAnsi="Arial" w:cs="Arial"/>
          <w:sz w:val="22"/>
          <w:szCs w:val="22"/>
        </w:rPr>
        <w:t>Nonprofit Sustainability</w:t>
      </w:r>
    </w:p>
    <w:p w14:paraId="5C2062F8" w14:textId="31CA9288" w:rsidR="00AA3B02" w:rsidRPr="002C022A" w:rsidRDefault="00BA1ED6" w:rsidP="00AA3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agencies that </w:t>
      </w:r>
      <w:r w:rsidR="00AA3B02" w:rsidRPr="002C022A">
        <w:rPr>
          <w:rFonts w:ascii="Arial" w:hAnsi="Arial" w:cs="Arial"/>
          <w:sz w:val="22"/>
          <w:szCs w:val="22"/>
        </w:rPr>
        <w:t xml:space="preserve">complete </w:t>
      </w:r>
      <w:r w:rsidR="00B13FEC">
        <w:rPr>
          <w:rFonts w:ascii="Arial" w:hAnsi="Arial" w:cs="Arial"/>
          <w:sz w:val="22"/>
          <w:szCs w:val="22"/>
        </w:rPr>
        <w:t xml:space="preserve">the </w:t>
      </w:r>
      <w:r w:rsidR="00AA3B02" w:rsidRPr="002C022A">
        <w:rPr>
          <w:rFonts w:ascii="Arial" w:hAnsi="Arial" w:cs="Arial"/>
          <w:sz w:val="22"/>
          <w:szCs w:val="22"/>
        </w:rPr>
        <w:t xml:space="preserve">Boot Camp are eligible </w:t>
      </w:r>
      <w:r w:rsidR="00F8759C">
        <w:rPr>
          <w:rFonts w:ascii="Arial" w:hAnsi="Arial" w:cs="Arial"/>
          <w:sz w:val="22"/>
          <w:szCs w:val="22"/>
        </w:rPr>
        <w:t>two hours of free</w:t>
      </w:r>
      <w:r w:rsidR="003C0548">
        <w:rPr>
          <w:rFonts w:ascii="Arial" w:hAnsi="Arial" w:cs="Arial"/>
          <w:sz w:val="22"/>
          <w:szCs w:val="22"/>
        </w:rPr>
        <w:t xml:space="preserve"> consulting </w:t>
      </w:r>
      <w:r w:rsidR="00202A4C">
        <w:rPr>
          <w:rFonts w:ascii="Arial" w:hAnsi="Arial" w:cs="Arial"/>
          <w:sz w:val="22"/>
          <w:szCs w:val="22"/>
        </w:rPr>
        <w:t xml:space="preserve">from ESC </w:t>
      </w:r>
      <w:r w:rsidR="003C0548">
        <w:rPr>
          <w:rFonts w:ascii="Arial" w:hAnsi="Arial" w:cs="Arial"/>
          <w:sz w:val="22"/>
          <w:szCs w:val="22"/>
        </w:rPr>
        <w:t xml:space="preserve">to </w:t>
      </w:r>
      <w:r w:rsidR="00202A4C">
        <w:rPr>
          <w:rFonts w:ascii="Arial" w:hAnsi="Arial" w:cs="Arial"/>
          <w:sz w:val="22"/>
          <w:szCs w:val="22"/>
        </w:rPr>
        <w:t>work on a goal</w:t>
      </w:r>
      <w:r w:rsidR="00202A4C" w:rsidRPr="00202A4C">
        <w:rPr>
          <w:rFonts w:ascii="Arial" w:hAnsi="Arial" w:cs="Arial"/>
          <w:sz w:val="22"/>
          <w:szCs w:val="22"/>
        </w:rPr>
        <w:t xml:space="preserve"> </w:t>
      </w:r>
      <w:r w:rsidR="00202A4C">
        <w:rPr>
          <w:rFonts w:ascii="Arial" w:hAnsi="Arial" w:cs="Arial"/>
          <w:sz w:val="22"/>
          <w:szCs w:val="22"/>
        </w:rPr>
        <w:t>to improve how their board functions.</w:t>
      </w:r>
    </w:p>
    <w:p w14:paraId="040BCCC0" w14:textId="77777777" w:rsidR="00AA3B02" w:rsidRPr="002C022A" w:rsidRDefault="00AA3B02" w:rsidP="00AA3B02">
      <w:pPr>
        <w:rPr>
          <w:rFonts w:ascii="Arial" w:hAnsi="Arial" w:cs="Arial"/>
          <w:sz w:val="22"/>
          <w:szCs w:val="22"/>
        </w:rPr>
      </w:pPr>
    </w:p>
    <w:p w14:paraId="53BA8304" w14:textId="616CFB0F" w:rsidR="00AA3B02" w:rsidRPr="002C022A" w:rsidRDefault="00821E43" w:rsidP="00AA3B02">
      <w:pPr>
        <w:rPr>
          <w:rFonts w:ascii="Arial" w:hAnsi="Arial" w:cs="Arial"/>
          <w:sz w:val="22"/>
          <w:szCs w:val="22"/>
          <w:u w:val="single"/>
        </w:rPr>
      </w:pPr>
      <w:r w:rsidRPr="002C022A">
        <w:rPr>
          <w:rFonts w:ascii="Arial" w:hAnsi="Arial" w:cs="Arial"/>
          <w:sz w:val="22"/>
          <w:szCs w:val="22"/>
          <w:u w:val="single"/>
        </w:rPr>
        <w:t xml:space="preserve">Piloting </w:t>
      </w:r>
      <w:r w:rsidR="00202A4C">
        <w:rPr>
          <w:rFonts w:ascii="Arial" w:hAnsi="Arial" w:cs="Arial"/>
          <w:sz w:val="22"/>
          <w:szCs w:val="22"/>
          <w:u w:val="single"/>
        </w:rPr>
        <w:t>Workshop Series for Nonprofit Staff and Board</w:t>
      </w:r>
    </w:p>
    <w:p w14:paraId="38D24249" w14:textId="73CEBFB7" w:rsidR="00EF1D7B" w:rsidRDefault="00EF1D7B" w:rsidP="000F13A1">
      <w:pPr>
        <w:rPr>
          <w:rFonts w:ascii="Arial" w:hAnsi="Arial" w:cs="Arial"/>
          <w:sz w:val="22"/>
          <w:szCs w:val="22"/>
        </w:rPr>
      </w:pPr>
      <w:r w:rsidRPr="00EF1D7B">
        <w:rPr>
          <w:rFonts w:ascii="Arial" w:hAnsi="Arial" w:cs="Arial"/>
          <w:sz w:val="22"/>
          <w:szCs w:val="22"/>
        </w:rPr>
        <w:t xml:space="preserve">We </w:t>
      </w:r>
      <w:r w:rsidR="00F30039">
        <w:rPr>
          <w:rFonts w:ascii="Arial" w:hAnsi="Arial" w:cs="Arial"/>
          <w:sz w:val="22"/>
          <w:szCs w:val="22"/>
        </w:rPr>
        <w:t>are piloting</w:t>
      </w:r>
      <w:r>
        <w:rPr>
          <w:rFonts w:ascii="Arial" w:hAnsi="Arial" w:cs="Arial"/>
          <w:sz w:val="22"/>
          <w:szCs w:val="22"/>
        </w:rPr>
        <w:t xml:space="preserve"> </w:t>
      </w:r>
      <w:r w:rsidRPr="00EF1D7B">
        <w:rPr>
          <w:rFonts w:ascii="Arial" w:hAnsi="Arial" w:cs="Arial"/>
          <w:sz w:val="22"/>
          <w:szCs w:val="22"/>
        </w:rPr>
        <w:t>educational workshops tailored to the specific needs of nonprofit staff and board leadership.</w:t>
      </w:r>
      <w:r w:rsidR="00F30039">
        <w:rPr>
          <w:rFonts w:ascii="Arial" w:hAnsi="Arial" w:cs="Arial"/>
          <w:sz w:val="22"/>
          <w:szCs w:val="22"/>
        </w:rPr>
        <w:t xml:space="preserve"> Each workshop i</w:t>
      </w:r>
      <w:r>
        <w:rPr>
          <w:rFonts w:ascii="Arial" w:hAnsi="Arial" w:cs="Arial"/>
          <w:sz w:val="22"/>
          <w:szCs w:val="22"/>
        </w:rPr>
        <w:t xml:space="preserve">s led by an ESC consultant. </w:t>
      </w:r>
      <w:r w:rsidR="00BA1ED6">
        <w:rPr>
          <w:rFonts w:ascii="Arial" w:hAnsi="Arial" w:cs="Arial"/>
          <w:sz w:val="22"/>
          <w:szCs w:val="22"/>
        </w:rPr>
        <w:t xml:space="preserve">This resulted in new nonprofits who had not yet done </w:t>
      </w:r>
      <w:r w:rsidR="00F30039">
        <w:rPr>
          <w:rFonts w:ascii="Arial" w:hAnsi="Arial" w:cs="Arial"/>
          <w:sz w:val="22"/>
          <w:szCs w:val="22"/>
        </w:rPr>
        <w:t xml:space="preserve">a project with ESC in the past.  Each attendee is charged $50 using the web platform Brown Paper Tickets.  </w:t>
      </w:r>
    </w:p>
    <w:p w14:paraId="7545CBEC" w14:textId="77777777" w:rsidR="00EF1D7B" w:rsidRDefault="00EF1D7B" w:rsidP="000F13A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218"/>
        <w:gridCol w:w="3960"/>
      </w:tblGrid>
      <w:tr w:rsidR="00EF57AB" w:rsidRPr="00EF1D7B" w14:paraId="273E77F3" w14:textId="77777777" w:rsidTr="00EF57AB">
        <w:trPr>
          <w:trHeight w:val="314"/>
        </w:trPr>
        <w:tc>
          <w:tcPr>
            <w:tcW w:w="3347" w:type="dxa"/>
            <w:shd w:val="clear" w:color="auto" w:fill="auto"/>
          </w:tcPr>
          <w:p w14:paraId="753C4D3E" w14:textId="77777777" w:rsidR="00EF1D7B" w:rsidRPr="00F30039" w:rsidRDefault="00EF1D7B" w:rsidP="00EF1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shd w:val="clear" w:color="auto" w:fill="auto"/>
          </w:tcPr>
          <w:p w14:paraId="256C3651" w14:textId="53D996B1" w:rsidR="00EF1D7B" w:rsidRPr="00F30039" w:rsidRDefault="00F30039" w:rsidP="00F300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Number of </w:t>
            </w:r>
            <w:r w:rsidR="00EF1D7B" w:rsidRPr="00F30039">
              <w:rPr>
                <w:rFonts w:ascii="Arial" w:hAnsi="Arial" w:cs="Arial"/>
                <w:b/>
                <w:sz w:val="22"/>
                <w:szCs w:val="22"/>
                <w:u w:val="single"/>
              </w:rPr>
              <w:t>Attendees</w:t>
            </w:r>
          </w:p>
        </w:tc>
        <w:tc>
          <w:tcPr>
            <w:tcW w:w="3960" w:type="dxa"/>
            <w:shd w:val="clear" w:color="auto" w:fill="auto"/>
          </w:tcPr>
          <w:p w14:paraId="3460017C" w14:textId="4CCA96AF" w:rsidR="00EF1D7B" w:rsidRPr="00F30039" w:rsidRDefault="00F30039" w:rsidP="00F300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Nonprofits </w:t>
            </w:r>
            <w:r w:rsidR="00EF1D7B" w:rsidRPr="00F30039">
              <w:rPr>
                <w:rFonts w:ascii="Arial" w:hAnsi="Arial" w:cs="Arial"/>
                <w:b/>
                <w:sz w:val="22"/>
                <w:szCs w:val="22"/>
                <w:u w:val="single"/>
              </w:rPr>
              <w:t>New to ESC</w:t>
            </w:r>
          </w:p>
        </w:tc>
      </w:tr>
      <w:tr w:rsidR="00EF57AB" w:rsidRPr="00EF1D7B" w14:paraId="074992D6" w14:textId="77777777" w:rsidTr="00EF57AB">
        <w:trPr>
          <w:trHeight w:val="315"/>
        </w:trPr>
        <w:tc>
          <w:tcPr>
            <w:tcW w:w="3347" w:type="dxa"/>
            <w:shd w:val="clear" w:color="auto" w:fill="E7E6E6" w:themeFill="background2"/>
          </w:tcPr>
          <w:p w14:paraId="71532F71" w14:textId="77777777" w:rsidR="00EF1D7B" w:rsidRPr="00EF1D7B" w:rsidRDefault="00EF1D7B" w:rsidP="00EF1D7B">
            <w:pPr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Grant Writing 101</w:t>
            </w:r>
          </w:p>
        </w:tc>
        <w:tc>
          <w:tcPr>
            <w:tcW w:w="3218" w:type="dxa"/>
            <w:shd w:val="clear" w:color="auto" w:fill="E7E6E6" w:themeFill="background2"/>
          </w:tcPr>
          <w:p w14:paraId="1F4FE628" w14:textId="77777777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960" w:type="dxa"/>
            <w:shd w:val="clear" w:color="auto" w:fill="E7E6E6" w:themeFill="background2"/>
          </w:tcPr>
          <w:p w14:paraId="573D59C8" w14:textId="77777777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EF57AB" w:rsidRPr="00EF1D7B" w14:paraId="18C7691F" w14:textId="77777777" w:rsidTr="00EF57AB">
        <w:trPr>
          <w:trHeight w:val="360"/>
        </w:trPr>
        <w:tc>
          <w:tcPr>
            <w:tcW w:w="3347" w:type="dxa"/>
          </w:tcPr>
          <w:p w14:paraId="2C92D164" w14:textId="77777777" w:rsidR="00EF1D7B" w:rsidRPr="00EF1D7B" w:rsidRDefault="00EF1D7B" w:rsidP="00EF1D7B">
            <w:pPr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Finances and Budgeting</w:t>
            </w:r>
          </w:p>
        </w:tc>
        <w:tc>
          <w:tcPr>
            <w:tcW w:w="3218" w:type="dxa"/>
          </w:tcPr>
          <w:p w14:paraId="1777C545" w14:textId="77777777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960" w:type="dxa"/>
          </w:tcPr>
          <w:p w14:paraId="68D796AB" w14:textId="77777777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EF57AB" w:rsidRPr="00EF1D7B" w14:paraId="7624ECCE" w14:textId="77777777" w:rsidTr="00EF57AB">
        <w:trPr>
          <w:trHeight w:val="315"/>
        </w:trPr>
        <w:tc>
          <w:tcPr>
            <w:tcW w:w="3347" w:type="dxa"/>
            <w:shd w:val="clear" w:color="auto" w:fill="E7E6E6" w:themeFill="background2"/>
          </w:tcPr>
          <w:p w14:paraId="35188023" w14:textId="77777777" w:rsidR="00EF1D7B" w:rsidRPr="00EF1D7B" w:rsidRDefault="00EF1D7B" w:rsidP="00EF1D7B">
            <w:pPr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Supervision 101</w:t>
            </w:r>
          </w:p>
        </w:tc>
        <w:tc>
          <w:tcPr>
            <w:tcW w:w="3218" w:type="dxa"/>
            <w:shd w:val="clear" w:color="auto" w:fill="E7E6E6" w:themeFill="background2"/>
          </w:tcPr>
          <w:p w14:paraId="07F88933" w14:textId="77777777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960" w:type="dxa"/>
            <w:shd w:val="clear" w:color="auto" w:fill="E7E6E6" w:themeFill="background2"/>
          </w:tcPr>
          <w:p w14:paraId="64B40BC5" w14:textId="77777777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EF57AB" w:rsidRPr="00EF1D7B" w14:paraId="73665DC3" w14:textId="77777777" w:rsidTr="00EF57AB">
        <w:trPr>
          <w:trHeight w:val="297"/>
        </w:trPr>
        <w:tc>
          <w:tcPr>
            <w:tcW w:w="3347" w:type="dxa"/>
            <w:shd w:val="clear" w:color="auto" w:fill="auto"/>
          </w:tcPr>
          <w:p w14:paraId="019D85FD" w14:textId="77777777" w:rsidR="00EF1D7B" w:rsidRPr="00EF1D7B" w:rsidRDefault="00EF1D7B" w:rsidP="00EF1D7B">
            <w:pPr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Fundraising 101</w:t>
            </w:r>
          </w:p>
        </w:tc>
        <w:tc>
          <w:tcPr>
            <w:tcW w:w="3218" w:type="dxa"/>
            <w:shd w:val="clear" w:color="auto" w:fill="auto"/>
          </w:tcPr>
          <w:p w14:paraId="1329E4CC" w14:textId="77777777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960" w:type="dxa"/>
            <w:shd w:val="clear" w:color="auto" w:fill="auto"/>
          </w:tcPr>
          <w:p w14:paraId="493B2E31" w14:textId="77777777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EF57AB" w:rsidRPr="00EF1D7B" w14:paraId="7FF5FBED" w14:textId="77777777" w:rsidTr="00EF57AB">
        <w:trPr>
          <w:trHeight w:val="333"/>
        </w:trPr>
        <w:tc>
          <w:tcPr>
            <w:tcW w:w="3347" w:type="dxa"/>
            <w:shd w:val="clear" w:color="auto" w:fill="E7E6E6" w:themeFill="background2"/>
          </w:tcPr>
          <w:p w14:paraId="39280172" w14:textId="77777777" w:rsidR="00EF1D7B" w:rsidRPr="00EF1D7B" w:rsidRDefault="00EF1D7B" w:rsidP="00EF1D7B">
            <w:pPr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Fun with Logic Models</w:t>
            </w:r>
          </w:p>
        </w:tc>
        <w:tc>
          <w:tcPr>
            <w:tcW w:w="3218" w:type="dxa"/>
            <w:shd w:val="clear" w:color="auto" w:fill="E7E6E6" w:themeFill="background2"/>
          </w:tcPr>
          <w:p w14:paraId="4ECC32C7" w14:textId="77777777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60" w:type="dxa"/>
            <w:shd w:val="clear" w:color="auto" w:fill="E7E6E6" w:themeFill="background2"/>
          </w:tcPr>
          <w:p w14:paraId="0AC4D742" w14:textId="77777777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F57AB" w:rsidRPr="00EF1D7B" w14:paraId="4C666E25" w14:textId="77777777" w:rsidTr="00EF57AB">
        <w:trPr>
          <w:trHeight w:val="324"/>
        </w:trPr>
        <w:tc>
          <w:tcPr>
            <w:tcW w:w="3347" w:type="dxa"/>
            <w:shd w:val="clear" w:color="auto" w:fill="auto"/>
          </w:tcPr>
          <w:p w14:paraId="1ACEAD4F" w14:textId="77777777" w:rsidR="00EF1D7B" w:rsidRPr="00EF1D7B" w:rsidRDefault="00EF1D7B" w:rsidP="00EF1D7B">
            <w:pPr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Marketing 501</w:t>
            </w:r>
          </w:p>
        </w:tc>
        <w:tc>
          <w:tcPr>
            <w:tcW w:w="3218" w:type="dxa"/>
            <w:shd w:val="clear" w:color="auto" w:fill="auto"/>
          </w:tcPr>
          <w:p w14:paraId="4DF3F5F3" w14:textId="573B781E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960" w:type="dxa"/>
            <w:shd w:val="clear" w:color="auto" w:fill="auto"/>
          </w:tcPr>
          <w:p w14:paraId="232F3DC7" w14:textId="77777777" w:rsidR="00EF1D7B" w:rsidRPr="00EF1D7B" w:rsidRDefault="00EF1D7B" w:rsidP="00F3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7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5671B1AA" w14:textId="77777777" w:rsidR="00AA3B02" w:rsidRDefault="00AA3B02">
      <w:pPr>
        <w:rPr>
          <w:rFonts w:ascii="Arial" w:hAnsi="Arial" w:cs="Arial"/>
          <w:sz w:val="22"/>
          <w:szCs w:val="22"/>
        </w:rPr>
      </w:pPr>
    </w:p>
    <w:p w14:paraId="141A5313" w14:textId="42ADEA10" w:rsidR="00AE5573" w:rsidRPr="002C022A" w:rsidRDefault="00AE5573" w:rsidP="00AE5573">
      <w:pPr>
        <w:rPr>
          <w:rFonts w:ascii="Arial" w:hAnsi="Arial" w:cs="Arial"/>
          <w:sz w:val="22"/>
          <w:szCs w:val="22"/>
          <w:u w:val="single"/>
        </w:rPr>
      </w:pPr>
      <w:r w:rsidRPr="002C022A">
        <w:rPr>
          <w:rFonts w:ascii="Arial" w:hAnsi="Arial" w:cs="Arial"/>
          <w:sz w:val="22"/>
          <w:szCs w:val="22"/>
          <w:u w:val="single"/>
        </w:rPr>
        <w:t xml:space="preserve">Building Our </w:t>
      </w:r>
      <w:r w:rsidR="00EF1D7B">
        <w:rPr>
          <w:rFonts w:ascii="Arial" w:hAnsi="Arial" w:cs="Arial"/>
          <w:sz w:val="22"/>
          <w:szCs w:val="22"/>
          <w:u w:val="single"/>
        </w:rPr>
        <w:t>Salesforce Capabilities</w:t>
      </w:r>
    </w:p>
    <w:p w14:paraId="51FDE3D5" w14:textId="5B9DD64A" w:rsidR="00AE5573" w:rsidRDefault="00EF1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secured</w:t>
      </w:r>
      <w:r w:rsidRPr="00EF1D7B">
        <w:rPr>
          <w:rFonts w:ascii="Arial" w:hAnsi="Arial" w:cs="Arial"/>
          <w:bCs/>
          <w:sz w:val="22"/>
          <w:szCs w:val="22"/>
        </w:rPr>
        <w:t xml:space="preserve"> pro bono Salesforce support from </w:t>
      </w:r>
      <w:r>
        <w:rPr>
          <w:rFonts w:ascii="Arial" w:hAnsi="Arial" w:cs="Arial"/>
          <w:bCs/>
          <w:sz w:val="22"/>
          <w:szCs w:val="22"/>
        </w:rPr>
        <w:t xml:space="preserve">Blue Cross and Blue Shield of North Carolina, which resulted in a saving of $7,000.  In the past, we stored all project data in Salesforce.  One important addition to project data that we are now capturing </w:t>
      </w:r>
      <w:r w:rsidR="00EF57AB">
        <w:rPr>
          <w:rFonts w:ascii="Arial" w:hAnsi="Arial" w:cs="Arial"/>
          <w:bCs/>
          <w:sz w:val="22"/>
          <w:szCs w:val="22"/>
        </w:rPr>
        <w:t>are</w:t>
      </w:r>
      <w:r w:rsidR="00F3003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the results from ou</w:t>
      </w:r>
      <w:r w:rsidR="00EF57AB">
        <w:rPr>
          <w:rFonts w:ascii="Arial" w:hAnsi="Arial" w:cs="Arial"/>
          <w:bCs/>
          <w:sz w:val="22"/>
          <w:szCs w:val="22"/>
        </w:rPr>
        <w:t>r three-</w:t>
      </w:r>
      <w:r>
        <w:rPr>
          <w:rFonts w:ascii="Arial" w:hAnsi="Arial" w:cs="Arial"/>
          <w:bCs/>
          <w:sz w:val="22"/>
          <w:szCs w:val="22"/>
        </w:rPr>
        <w:t xml:space="preserve">month follow-ups.  </w:t>
      </w:r>
      <w:r w:rsidR="00C134DC">
        <w:rPr>
          <w:rFonts w:ascii="Arial" w:hAnsi="Arial" w:cs="Arial"/>
          <w:bCs/>
          <w:sz w:val="22"/>
          <w:szCs w:val="22"/>
        </w:rPr>
        <w:t xml:space="preserve">Another </w:t>
      </w:r>
      <w:r>
        <w:rPr>
          <w:rFonts w:ascii="Arial" w:hAnsi="Arial" w:cs="Arial"/>
          <w:bCs/>
          <w:sz w:val="22"/>
          <w:szCs w:val="22"/>
        </w:rPr>
        <w:t xml:space="preserve">important addition to Salesforce is that we are now able to capture all Boot Camp and workshop attendees in Salesforce. </w:t>
      </w:r>
      <w:r w:rsidR="00F30039">
        <w:rPr>
          <w:rFonts w:ascii="Arial" w:hAnsi="Arial" w:cs="Arial"/>
          <w:bCs/>
          <w:sz w:val="22"/>
          <w:szCs w:val="22"/>
        </w:rPr>
        <w:t xml:space="preserve">Therefore, we </w:t>
      </w:r>
      <w:r w:rsidR="00C134DC">
        <w:rPr>
          <w:rFonts w:ascii="Arial" w:hAnsi="Arial" w:cs="Arial"/>
          <w:bCs/>
          <w:sz w:val="22"/>
          <w:szCs w:val="22"/>
        </w:rPr>
        <w:t xml:space="preserve">can </w:t>
      </w:r>
      <w:r w:rsidR="00280C93">
        <w:rPr>
          <w:rFonts w:ascii="Arial" w:hAnsi="Arial" w:cs="Arial"/>
          <w:bCs/>
          <w:sz w:val="22"/>
          <w:szCs w:val="22"/>
        </w:rPr>
        <w:t xml:space="preserve">now </w:t>
      </w:r>
      <w:r w:rsidR="00C134DC">
        <w:rPr>
          <w:rFonts w:ascii="Arial" w:hAnsi="Arial" w:cs="Arial"/>
          <w:bCs/>
          <w:sz w:val="22"/>
          <w:szCs w:val="22"/>
        </w:rPr>
        <w:t xml:space="preserve">look up a nonprofit and see if they have either done a project or participated in a workshop or Boot Camp. </w:t>
      </w:r>
      <w:r>
        <w:rPr>
          <w:rFonts w:ascii="Arial" w:hAnsi="Arial" w:cs="Arial"/>
          <w:bCs/>
          <w:sz w:val="22"/>
          <w:szCs w:val="22"/>
        </w:rPr>
        <w:t xml:space="preserve"> Also, we have linked </w:t>
      </w:r>
      <w:r w:rsidRPr="00EF1D7B">
        <w:rPr>
          <w:rFonts w:ascii="Arial" w:hAnsi="Arial" w:cs="Arial"/>
          <w:sz w:val="22"/>
          <w:szCs w:val="22"/>
        </w:rPr>
        <w:t>Salesforce with Mailchimp so that Salesforce is source of all data</w:t>
      </w:r>
      <w:r w:rsidR="00EF57AB">
        <w:rPr>
          <w:rFonts w:ascii="Arial" w:hAnsi="Arial" w:cs="Arial"/>
          <w:sz w:val="22"/>
          <w:szCs w:val="22"/>
        </w:rPr>
        <w:t xml:space="preserve">, </w:t>
      </w:r>
      <w:r w:rsidR="00C134DC">
        <w:rPr>
          <w:rFonts w:ascii="Arial" w:hAnsi="Arial" w:cs="Arial"/>
          <w:sz w:val="22"/>
          <w:szCs w:val="22"/>
        </w:rPr>
        <w:t>which has dramatically increased our efficiency.</w:t>
      </w:r>
    </w:p>
    <w:p w14:paraId="1C35A890" w14:textId="77777777" w:rsidR="00BA1ED6" w:rsidRDefault="00BA1ED6">
      <w:pPr>
        <w:rPr>
          <w:rFonts w:ascii="Arial" w:hAnsi="Arial" w:cs="Arial"/>
          <w:sz w:val="22"/>
          <w:szCs w:val="22"/>
        </w:rPr>
      </w:pPr>
    </w:p>
    <w:p w14:paraId="29855C38" w14:textId="100F9953" w:rsidR="00BA1ED6" w:rsidRPr="002C022A" w:rsidRDefault="00F30039" w:rsidP="00BA1ED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Refined Strategic Planning Offerings to Meet the Needs of Our Clients</w:t>
      </w:r>
    </w:p>
    <w:p w14:paraId="7E31C65C" w14:textId="04C95FAC" w:rsidR="009455C0" w:rsidRPr="009455C0" w:rsidRDefault="00F30039" w:rsidP="009455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now offer</w:t>
      </w:r>
      <w:r w:rsidR="009455C0" w:rsidRPr="009455C0">
        <w:rPr>
          <w:rFonts w:ascii="Arial" w:hAnsi="Arial" w:cs="Arial"/>
          <w:bCs/>
          <w:sz w:val="22"/>
          <w:szCs w:val="22"/>
        </w:rPr>
        <w:t xml:space="preserve"> three levels of strategic planning options – each can be customized to fit the needs of the client.</w:t>
      </w:r>
    </w:p>
    <w:p w14:paraId="67B2CE63" w14:textId="59043875" w:rsidR="009455C0" w:rsidRPr="00F30039" w:rsidRDefault="009455C0" w:rsidP="009455C0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2"/>
          <w:szCs w:val="22"/>
        </w:rPr>
      </w:pPr>
      <w:r w:rsidRPr="00F30039">
        <w:rPr>
          <w:rFonts w:ascii="Arial" w:eastAsia="Calibri" w:hAnsi="Arial" w:cs="Arial"/>
          <w:b/>
          <w:bCs/>
          <w:sz w:val="22"/>
          <w:szCs w:val="22"/>
        </w:rPr>
        <w:t>Strategic Plan</w:t>
      </w:r>
      <w:r w:rsidRPr="00F30039">
        <w:rPr>
          <w:rFonts w:ascii="Arial" w:eastAsia="Calibri" w:hAnsi="Arial" w:cs="Arial"/>
          <w:sz w:val="22"/>
          <w:szCs w:val="22"/>
        </w:rPr>
        <w:t xml:space="preserve"> is for agencies that have </w:t>
      </w:r>
      <w:proofErr w:type="gramStart"/>
      <w:r w:rsidRPr="00F30039">
        <w:rPr>
          <w:rFonts w:ascii="Arial" w:eastAsia="Calibri" w:hAnsi="Arial" w:cs="Arial"/>
          <w:sz w:val="22"/>
          <w:szCs w:val="22"/>
        </w:rPr>
        <w:t>sufficient</w:t>
      </w:r>
      <w:proofErr w:type="gramEnd"/>
      <w:r w:rsidRPr="00F30039">
        <w:rPr>
          <w:rFonts w:ascii="Arial" w:eastAsia="Calibri" w:hAnsi="Arial" w:cs="Arial"/>
          <w:sz w:val="22"/>
          <w:szCs w:val="22"/>
        </w:rPr>
        <w:t xml:space="preserve"> resources and time to create a detailed 3–5 years plan.   In general, may require 6 – 9 months to complete.</w:t>
      </w:r>
    </w:p>
    <w:p w14:paraId="51A49E61" w14:textId="77777777" w:rsidR="009455C0" w:rsidRPr="00F30039" w:rsidRDefault="009455C0" w:rsidP="00F30039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2"/>
          <w:szCs w:val="22"/>
        </w:rPr>
      </w:pPr>
      <w:r w:rsidRPr="00F30039">
        <w:rPr>
          <w:rFonts w:ascii="Arial" w:eastAsia="Calibri" w:hAnsi="Arial" w:cs="Arial"/>
          <w:b/>
          <w:bCs/>
          <w:sz w:val="22"/>
          <w:szCs w:val="22"/>
        </w:rPr>
        <w:t>Strategic Direction</w:t>
      </w:r>
      <w:r w:rsidRPr="00F30039">
        <w:rPr>
          <w:rFonts w:ascii="Arial" w:eastAsia="Calibri" w:hAnsi="Arial" w:cs="Arial"/>
          <w:sz w:val="22"/>
          <w:szCs w:val="22"/>
        </w:rPr>
        <w:t> is for agencies that need to refresh an existing strategic plan or would like an abbreviated process.  In general, may require 3-6 months to complete.</w:t>
      </w:r>
    </w:p>
    <w:p w14:paraId="519057CE" w14:textId="5208C87C" w:rsidR="00BA1ED6" w:rsidRPr="00EF57AB" w:rsidRDefault="009455C0" w:rsidP="00EF57AB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2"/>
          <w:szCs w:val="22"/>
        </w:rPr>
      </w:pPr>
      <w:r w:rsidRPr="00F30039">
        <w:rPr>
          <w:rFonts w:ascii="Arial" w:eastAsia="Calibri" w:hAnsi="Arial" w:cs="Arial"/>
          <w:b/>
          <w:bCs/>
          <w:sz w:val="22"/>
          <w:szCs w:val="22"/>
        </w:rPr>
        <w:t>Strategic Focus</w:t>
      </w:r>
      <w:r w:rsidRPr="00F30039">
        <w:rPr>
          <w:rFonts w:ascii="Arial" w:eastAsia="Calibri" w:hAnsi="Arial" w:cs="Arial"/>
          <w:sz w:val="22"/>
          <w:szCs w:val="22"/>
        </w:rPr>
        <w:t xml:space="preserve"> is for agencies at a critical juncture that need to lay out a short-term strategic focus concentrated on areas for the next 6-18 months.  In general, may require 1-3 months to complete.  </w:t>
      </w:r>
      <w:r w:rsidR="00F30039">
        <w:rPr>
          <w:rFonts w:ascii="Arial" w:eastAsia="Calibri" w:hAnsi="Arial" w:cs="Arial"/>
          <w:sz w:val="22"/>
          <w:szCs w:val="22"/>
        </w:rPr>
        <w:t>(based on Oklahoma’s Organizational Focus.)</w:t>
      </w:r>
    </w:p>
    <w:sectPr w:rsidR="00BA1ED6" w:rsidRPr="00EF57AB" w:rsidSect="00F3003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FEFA" w14:textId="77777777" w:rsidR="000D3CBC" w:rsidRDefault="000D3CBC" w:rsidP="00AE5573">
      <w:r>
        <w:separator/>
      </w:r>
    </w:p>
  </w:endnote>
  <w:endnote w:type="continuationSeparator" w:id="0">
    <w:p w14:paraId="6CE58C3F" w14:textId="77777777" w:rsidR="000D3CBC" w:rsidRDefault="000D3CBC" w:rsidP="00AE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D6B2" w14:textId="472FBB64" w:rsidR="00AE5573" w:rsidRPr="00AE5573" w:rsidRDefault="00AE5573">
    <w:pPr>
      <w:pStyle w:val="Footer"/>
      <w:rPr>
        <w:rFonts w:ascii="Arial" w:hAnsi="Arial" w:cs="Arial"/>
        <w:sz w:val="20"/>
        <w:szCs w:val="20"/>
      </w:rPr>
    </w:pPr>
    <w:r w:rsidRPr="00AE5573">
      <w:rPr>
        <w:rFonts w:ascii="Arial" w:hAnsi="Arial" w:cs="Arial"/>
        <w:sz w:val="20"/>
        <w:szCs w:val="20"/>
      </w:rPr>
      <w:t>C</w:t>
    </w:r>
    <w:r w:rsidR="00BA1ED6">
      <w:rPr>
        <w:rFonts w:ascii="Arial" w:hAnsi="Arial" w:cs="Arial"/>
        <w:sz w:val="20"/>
        <w:szCs w:val="20"/>
      </w:rPr>
      <w:t>reated: 10/15/18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1F1AB" w14:textId="77777777" w:rsidR="000D3CBC" w:rsidRDefault="000D3CBC" w:rsidP="00AE5573">
      <w:r>
        <w:separator/>
      </w:r>
    </w:p>
  </w:footnote>
  <w:footnote w:type="continuationSeparator" w:id="0">
    <w:p w14:paraId="4BE75116" w14:textId="77777777" w:rsidR="000D3CBC" w:rsidRDefault="000D3CBC" w:rsidP="00AE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9B9F" w14:textId="513E9BAE" w:rsidR="00F30039" w:rsidRDefault="00F30039">
    <w:pPr>
      <w:pStyle w:val="Header"/>
    </w:pPr>
    <w:r w:rsidRPr="00BB1651">
      <w:rPr>
        <w:noProof/>
      </w:rPr>
      <w:drawing>
        <wp:inline distT="0" distB="0" distL="0" distR="0" wp14:anchorId="69E73FB8" wp14:editId="67846A0E">
          <wp:extent cx="1250027" cy="875019"/>
          <wp:effectExtent l="0" t="0" r="7620" b="1905"/>
          <wp:docPr id="16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860" cy="884002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47EE"/>
    <w:multiLevelType w:val="hybridMultilevel"/>
    <w:tmpl w:val="5372A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F11"/>
    <w:multiLevelType w:val="multilevel"/>
    <w:tmpl w:val="878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8236F"/>
    <w:multiLevelType w:val="hybridMultilevel"/>
    <w:tmpl w:val="046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1647A"/>
    <w:multiLevelType w:val="hybridMultilevel"/>
    <w:tmpl w:val="200A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C0F94"/>
    <w:multiLevelType w:val="hybridMultilevel"/>
    <w:tmpl w:val="AC5017B6"/>
    <w:lvl w:ilvl="0" w:tplc="EA5C6D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C2A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CB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85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6B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87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280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2C6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864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1744"/>
    <w:multiLevelType w:val="hybridMultilevel"/>
    <w:tmpl w:val="54A6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09"/>
    <w:rsid w:val="00007C5E"/>
    <w:rsid w:val="000D3CBC"/>
    <w:rsid w:val="000F13A1"/>
    <w:rsid w:val="00202A4C"/>
    <w:rsid w:val="00217D58"/>
    <w:rsid w:val="00237DFD"/>
    <w:rsid w:val="0024707B"/>
    <w:rsid w:val="00280C93"/>
    <w:rsid w:val="002858A0"/>
    <w:rsid w:val="002C022A"/>
    <w:rsid w:val="00356348"/>
    <w:rsid w:val="003C0548"/>
    <w:rsid w:val="004701ED"/>
    <w:rsid w:val="00580C9A"/>
    <w:rsid w:val="007519A8"/>
    <w:rsid w:val="007855E3"/>
    <w:rsid w:val="007E1632"/>
    <w:rsid w:val="007E7DD6"/>
    <w:rsid w:val="00821E43"/>
    <w:rsid w:val="008226D0"/>
    <w:rsid w:val="008728A3"/>
    <w:rsid w:val="009455C0"/>
    <w:rsid w:val="00A03794"/>
    <w:rsid w:val="00A73F6A"/>
    <w:rsid w:val="00A962F3"/>
    <w:rsid w:val="00AA3B02"/>
    <w:rsid w:val="00AE5573"/>
    <w:rsid w:val="00B13FEC"/>
    <w:rsid w:val="00B36ED9"/>
    <w:rsid w:val="00BA1ED6"/>
    <w:rsid w:val="00BE5242"/>
    <w:rsid w:val="00C134DC"/>
    <w:rsid w:val="00DF79AB"/>
    <w:rsid w:val="00E2225E"/>
    <w:rsid w:val="00E81605"/>
    <w:rsid w:val="00ED4522"/>
    <w:rsid w:val="00EF1D7B"/>
    <w:rsid w:val="00EF57AB"/>
    <w:rsid w:val="00F30039"/>
    <w:rsid w:val="00F50609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41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B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0F13A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5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573"/>
  </w:style>
  <w:style w:type="paragraph" w:styleId="Footer">
    <w:name w:val="footer"/>
    <w:basedOn w:val="Normal"/>
    <w:link w:val="FooterChar"/>
    <w:uiPriority w:val="99"/>
    <w:unhideWhenUsed/>
    <w:rsid w:val="00AE5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573"/>
  </w:style>
  <w:style w:type="table" w:styleId="TableGrid">
    <w:name w:val="Table Grid"/>
    <w:basedOn w:val="TableNormal"/>
    <w:uiPriority w:val="39"/>
    <w:rsid w:val="00EF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Darlyne Koretos</cp:lastModifiedBy>
  <cp:revision>2</cp:revision>
  <dcterms:created xsi:type="dcterms:W3CDTF">2018-10-28T19:20:00Z</dcterms:created>
  <dcterms:modified xsi:type="dcterms:W3CDTF">2018-10-28T19:20:00Z</dcterms:modified>
</cp:coreProperties>
</file>